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3F" w:rsidRPr="003B013F" w:rsidRDefault="003B013F" w:rsidP="003B013F">
      <w:pPr>
        <w:pStyle w:val="3"/>
        <w:jc w:val="center"/>
        <w:rPr>
          <w:color w:val="333333"/>
          <w:sz w:val="32"/>
          <w:szCs w:val="32"/>
        </w:rPr>
      </w:pPr>
      <w:r w:rsidRPr="003B013F">
        <w:rPr>
          <w:rFonts w:hint="eastAsia"/>
          <w:color w:val="333333"/>
          <w:sz w:val="32"/>
          <w:szCs w:val="32"/>
        </w:rPr>
        <w:t>公司转让合同范本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一、合同双方当事人：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出让方（以下简称甲方）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受让方（以下简乙称）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根据《</w:t>
      </w:r>
      <w:hyperlink r:id="rId6" w:tgtFrame="_blank" w:tooltip="合同法" w:history="1">
        <w:r>
          <w:rPr>
            <w:rStyle w:val="a4"/>
            <w:rFonts w:hint="eastAsia"/>
            <w:sz w:val="18"/>
            <w:szCs w:val="18"/>
          </w:rPr>
          <w:t>合同法</w:t>
        </w:r>
      </w:hyperlink>
      <w:r>
        <w:rPr>
          <w:rFonts w:hint="eastAsia"/>
          <w:color w:val="333333"/>
          <w:sz w:val="18"/>
          <w:szCs w:val="18"/>
        </w:rPr>
        <w:t>》相关规定，经甲乙双方友好协商，拟定以下合同：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二、转让公司的基本情况：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本次转让为甲方将所属的 ，该公司账面价值 万元，评估价值 元，涉及职工安置 人，涉及银行债权 元。该公司转让行为已经同意。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三、职工的安置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本合同公司转让时所涉及职工的安置，经甲、乙双方约定并报批复同意，按如下方式处理：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1、甲方转让公司的人员由甲方自行安置，与乙方无关。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2、甲方转让公司的人员在外发生的一切违法行为由甲方自行承担，与乙方无关。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四、债权、债务处理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1、因甲方转让公司遗留的一切债权、债务由甲方自行承担，与乙方无关。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五、公司转让及价款支付情况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转让价款为人民币（大写） 元，双方约定在 日内，乙方 （①一次、②分期）通过指定的 账号将合同价款付清。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采用分期付款的， 乙方以 为保证条件，分 次，分别在 日内付清。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六、产权交割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　　乙方通过产权交易中心的指定账号支付合同价款或首付款后，甲方将编制好的《产权转让交割单》提交给乙方，由乙方凭此清单逐项核对与验收，核对无误、验收完毕后，由甲、乙双方及其经办人员在该清单上盖章、签字方视为交割完成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七、税费负担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经甲、乙双方约定，本次转让所涉及的税费按如下方式处理：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八、争议处理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在本合同履行过程中，甲、乙双方发生争议，经协商无效时，当事人可以向产权交易机构申请调解，也可以依合同的约定双方选择 （①依法向所在地仲裁机构申请仲裁；②依法向所在地人</w:t>
      </w:r>
      <w:hyperlink r:id="rId7" w:tgtFrame="_blank" w:tooltip="民法" w:history="1">
        <w:r>
          <w:rPr>
            <w:rStyle w:val="a4"/>
            <w:rFonts w:hint="eastAsia"/>
            <w:sz w:val="18"/>
            <w:szCs w:val="18"/>
          </w:rPr>
          <w:t>民法</w:t>
        </w:r>
      </w:hyperlink>
      <w:r>
        <w:rPr>
          <w:rFonts w:hint="eastAsia"/>
          <w:color w:val="333333"/>
          <w:sz w:val="18"/>
          <w:szCs w:val="18"/>
        </w:rPr>
        <w:t>院起诉）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九、违约责任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1、乙方在报名受让时，通过产权交易中心交付保证金人民币（大写） 元。当合同履行后，乙方交付的保证金退还给乙方或抵作价款。当乙方不履行合同的约定，则无权要求返还保证金；若甲方不履行合同的约定，应当向乙方支付相当于乙方交付保证金数额的补偿；若甲、乙双方要求解除合同的，保证金扣除乙方相应交易费用后返还给乙方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2、乙方未能按期支付本合同公司的价款，或者甲方未能按期交割本合同公司，每逾期一日应按逾期部分金额的 %，向对方支付违约金。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3、一方违约给另一方造成直接经济损失，且违约方支付违约金的数额不足以补偿对方的经济损失时，违约方应偿付另一方所受损失的差额部分。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十、合同的变更和解除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当发生下列情况之一时，可以变更、解除合同：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1、因情况发生变化，当事人双方协商一致，并订立了变更或解除协议，而且不因此损害国家和社会公共利益的。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2、由于不可抗力致使本合同的条款不能履行的。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　　3、由于一方在合同约定的期限内因故没有履行合同，另一方予以认同的。 本合同需变更或解除，甲、乙双方必须签定变更或解除协议，并报产权交易机构备案后生效。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十一、权证变更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甲、乙双方在交割完成后，由 负责，于 日之内办妥权证变更事项。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十二、双方约定的其他条款：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十三、合同的生效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本合同由甲、乙双方当事人签字盖章后生效，产权交易中心凭交易合同及《产权转让交割单》出具产权成交确认书。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十四、其他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1、本合同共 页，附件 件（共 页）一式 份，甲、乙双方及委托的会员各执 份，产权交易机构备存份。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甲方法定代表人：（签字）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乙方法定代表人：（签字）</w:t>
      </w:r>
    </w:p>
    <w:p w:rsidR="003B013F" w:rsidRDefault="003B013F" w:rsidP="003B013F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签约地点：</w:t>
      </w:r>
    </w:p>
    <w:p w:rsidR="00E556F1" w:rsidRPr="003B013F" w:rsidRDefault="003B013F" w:rsidP="003B013F">
      <w:pPr>
        <w:pStyle w:val="a3"/>
        <w:spacing w:line="390" w:lineRule="atLeast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年 月 日</w:t>
      </w:r>
    </w:p>
    <w:sectPr w:rsidR="00E556F1" w:rsidRPr="003B013F" w:rsidSect="00A631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A41" w:rsidRDefault="00706A41" w:rsidP="003B013F">
      <w:r>
        <w:separator/>
      </w:r>
    </w:p>
  </w:endnote>
  <w:endnote w:type="continuationSeparator" w:id="1">
    <w:p w:rsidR="00706A41" w:rsidRDefault="00706A41" w:rsidP="003B0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A41" w:rsidRDefault="00706A41" w:rsidP="003B013F">
      <w:r>
        <w:separator/>
      </w:r>
    </w:p>
  </w:footnote>
  <w:footnote w:type="continuationSeparator" w:id="1">
    <w:p w:rsidR="00706A41" w:rsidRDefault="00706A41" w:rsidP="003B01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2A9"/>
    <w:rsid w:val="003B013F"/>
    <w:rsid w:val="004A3C22"/>
    <w:rsid w:val="006947B5"/>
    <w:rsid w:val="00706A41"/>
    <w:rsid w:val="00C9578D"/>
    <w:rsid w:val="00D17F6C"/>
    <w:rsid w:val="00E556F1"/>
    <w:rsid w:val="00E716CB"/>
    <w:rsid w:val="00E872A9"/>
    <w:rsid w:val="00F2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F1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872A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72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E872A9"/>
    <w:rPr>
      <w:rFonts w:ascii="宋体" w:eastAsia="宋体" w:hAnsi="宋体" w:cs="宋体"/>
      <w:b/>
      <w:bCs/>
      <w:kern w:val="0"/>
      <w:szCs w:val="21"/>
    </w:rPr>
  </w:style>
  <w:style w:type="character" w:styleId="a4">
    <w:name w:val="Hyperlink"/>
    <w:basedOn w:val="a0"/>
    <w:uiPriority w:val="99"/>
    <w:semiHidden/>
    <w:unhideWhenUsed/>
    <w:rsid w:val="004A3C22"/>
    <w:rPr>
      <w:strike w:val="0"/>
      <w:dstrike w:val="0"/>
      <w:color w:val="333333"/>
      <w:u w:val="none"/>
      <w:effect w:val="none"/>
    </w:rPr>
  </w:style>
  <w:style w:type="paragraph" w:styleId="a5">
    <w:name w:val="header"/>
    <w:basedOn w:val="a"/>
    <w:link w:val="Char"/>
    <w:uiPriority w:val="99"/>
    <w:semiHidden/>
    <w:unhideWhenUsed/>
    <w:rsid w:val="003B0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B013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B0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B01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9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99232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  <w:divsChild>
                                <w:div w:id="149345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44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56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1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5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26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27907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  <w:divsChild>
                                <w:div w:id="157254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56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859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7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209081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9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4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42318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2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1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5659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2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0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48596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2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4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52259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0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09166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hinalawedu.com/sifakaoshi/ziliao/minf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lawedu.com/sifakaoshi/ziliao/minfa/hetongf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238</Words>
  <Characters>1358</Characters>
  <Application>Microsoft Office Word</Application>
  <DocSecurity>0</DocSecurity>
  <Lines>11</Lines>
  <Paragraphs>3</Paragraphs>
  <ScaleCrop>false</ScaleCrop>
  <Company>Microsoft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2017-03-09T03:15:00Z</dcterms:created>
  <dcterms:modified xsi:type="dcterms:W3CDTF">2017-03-09T03:39:00Z</dcterms:modified>
</cp:coreProperties>
</file>